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center"/>
        <w:rPr>
          <w:rFonts w:ascii="Engravers MT" w:cs="Engravers MT" w:eastAsia="Engravers MT" w:hAnsi="Engravers MT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sz w:val="56"/>
          <w:szCs w:val="56"/>
        </w:rPr>
        <w:drawing>
          <wp:inline distB="0" distT="0" distL="0" distR="0">
            <wp:extent cx="2519467" cy="13692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9467" cy="13692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4f81bd" w:space="10" w:sz="4" w:val="single"/>
          <w:bottom w:color="4f81bd" w:space="10" w:sz="4" w:val="single"/>
        </w:pBdr>
        <w:spacing w:after="360" w:before="360" w:line="276" w:lineRule="auto"/>
        <w:ind w:left="864" w:right="864" w:firstLine="0"/>
        <w:jc w:val="center"/>
        <w:rPr>
          <w:rFonts w:ascii="Libre Baskerville" w:cs="Libre Baskerville" w:eastAsia="Libre Baskerville" w:hAnsi="Libre Baskerville"/>
          <w:i w:val="1"/>
          <w:color w:val="4f81bd"/>
          <w:sz w:val="40"/>
          <w:szCs w:val="40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color w:val="4f81bd"/>
          <w:sz w:val="40"/>
          <w:szCs w:val="40"/>
          <w:rtl w:val="0"/>
        </w:rPr>
        <w:t xml:space="preserve">BBQ and Fish Fry Offerings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rPr>
          <w:rFonts w:ascii="Libre Baskerville" w:cs="Libre Baskerville" w:eastAsia="Libre Baskerville" w:hAnsi="Libre Baskerville"/>
          <w:color w:val="ff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i w:val="1"/>
          <w:color w:val="ff0000"/>
          <w:sz w:val="32"/>
          <w:szCs w:val="32"/>
          <w:rtl w:val="0"/>
        </w:rPr>
        <w:t xml:space="preserve">“Always Fresh and Made with Love…”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Pop-Up Spring to Winter 2019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Thursday to Saturday 2p to 9p 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@Shiloh C.O.G.I.C  515 Atlantic Ave. Bellport, NY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rPr>
          <w:rFonts w:ascii="Cambria" w:cs="Cambria" w:eastAsia="Cambria" w:hAnsi="Cambria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(631)355-5929 </w:t>
      </w: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4"/>
            <w:szCs w:val="24"/>
            <w:u w:val="single"/>
            <w:rtl w:val="0"/>
          </w:rPr>
          <w:t xml:space="preserve">Charascatering@gmail.com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spacing w:after="0" w:lin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Custom Menus Available Also! If it’s not here PLEASE ASK!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On-Site Catering available. Drop-off service available.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site BBQ Services starting at $1375 for 50pp add'l $18pp over 50 (4hrs)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Includes: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Beef and Turkey Hamburgers/Cheeseburgers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Nathan's Hotdogs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Grilled Bbq Chicken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Macaroni Salad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Roasted Corn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Brown Sugar Baked Beans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Green Salad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Fresh Lemonade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Condiments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Choice of Peach Cobbler or Signature Banana Pudding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site Fish Fry Services Starting at $1950 for 50pp add'l $30pp over 50 (4hrs)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Pick 2: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Jumbo Shrimp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Fresh Whiting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Fresh Flounder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Fresh Catfish add'l $4pp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Snow Crablegs add'l $5pp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Lobster Tail add'l $12pp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Includes: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Roasted Corn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Fresh Coleslaw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Hush Puppies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French Fries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Green Salad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Sparkling Cherry Lemonade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Condiments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Choice of Peach Cobbler or Signature Banana Pudding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*All menus are customizable.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*Additional hourly rate $100 per hour.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*Set up time not included in 4 hr. service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jc w:val="left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All Holiday orders require full payment to book services for said date, All Events require a 50% deposit to book with at least 2 weeks notice.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Notification within less than 2 weeks of event requires full payment. Deposits can be made via PayPal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charascatering@gmail.com</w:t>
        </w:r>
      </w:hyperlink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 or CashApp $CharasKitchen, GooglePay, Venmo or Zelle for your convenience. ALL CHECKS ARE TO BE WRITTEN TO: CHERYL GRIGG.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color w:val="ff0000"/>
        </w:rPr>
      </w:pPr>
      <w:bookmarkStart w:colFirst="0" w:colLast="0" w:name="_1fob9te" w:id="1"/>
      <w:bookmarkEnd w:id="1"/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Balance due upon set-up or delivery. If there are any questions or changes, please feel free to call us.  Thank you for considering Chara’s Kitchen and Catering. 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Viner Hand ITC" w:cs="Viner Hand ITC" w:eastAsia="Viner Hand ITC" w:hAnsi="Viner Hand IT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Viner Hand ITC" w:cs="Viner Hand ITC" w:eastAsia="Viner Hand ITC" w:hAnsi="Viner Hand IT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Engravers MT"/>
  <w:font w:name="Libre Baskerville"/>
  <w:font w:name="Calibri"/>
  <w:font w:name="Viner Hand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harascatering@gmail.com" TargetMode="External"/><Relationship Id="rId8" Type="http://schemas.openxmlformats.org/officeDocument/2006/relationships/hyperlink" Target="mailto:charascater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